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74" w:type="dxa"/>
        <w:tblInd w:w="-37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09"/>
        <w:gridCol w:w="64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074" w:type="dxa"/>
            <w:gridSpan w:val="2"/>
            <w:shd w:val="clear" w:color="auto" w:fill="auto"/>
            <w:vAlign w:val="center"/>
          </w:tcPr>
          <w:p>
            <w:pPr>
              <w:widowControl/>
              <w:ind w:left="-283" w:leftChars="-135" w:right="254" w:rightChars="121" w:firstLine="283" w:firstLineChars="64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4"/>
                <w:szCs w:val="44"/>
              </w:rPr>
              <w:t>入园项目情况统计表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</w:rPr>
              <w:t>内容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2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业务类型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9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项目建设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内容及特色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项目建设时间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项目投资(万元)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需求面积（㎡）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申请提交时间</w:t>
            </w:r>
          </w:p>
        </w:tc>
        <w:tc>
          <w:tcPr>
            <w:tcW w:w="6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ahoma" w:hAnsi="Tahoma" w:eastAsia="宋体" w:cs="Tahoma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A6C68"/>
    <w:rsid w:val="4C9A6C6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2018-05-07T01:10:00Z</dcterms:created>
  <dc:creator>KimLee1385019794</dc:creator>
  <cp:lastModifiedBy>KimLee1385019794</cp:lastModifiedBy>
  <dcterms:modified xsi:type="dcterms:W3CDTF">2018-05-07T01:10:50Z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